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vmdtv4r6fc0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“BUSINESS ALCHEMY”, UN WEEKEND DI FORMAZIONE IMPRENDITORIALE A RIVA DEL GARDA</w:t>
      </w:r>
    </w:p>
    <w:p w:rsidR="00000000" w:rsidDel="00000000" w:rsidP="00000000" w:rsidRDefault="00000000" w:rsidRPr="00000000" w14:paraId="00000003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Nelle due giornate dedicate alle strategie di marketing e business, il Garda Trentino ha accolto oltre 100 imprenditori nell’evento firmato Marketers.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0b0b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Venerdì 21 e sabato 22 febbraio,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 ha accolto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oltre 100 imprenditori 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per “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Business Alchemy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”, l’evento esclusivo di formazione organizzato da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Marketers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 e dal suo founder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Dario Vignali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. Due giorni intensivi dedicati allo sviluppo strategico del business, in una cornice suggestiva, come quella del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Garda Trentino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che ha favorito il networking e la condivisione di idee innovative.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“Business Alchemy” ha offerto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oltre 18 ore di formazione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 su strategie di scalabilità aziendale, funnel di conversione, differenziazione nel mercato e leadership, alternando momenti teorici ad esercitazioni pratiche e sessioni di Q&amp;A. Un percorso che ha coinvolto partecipanti selezionati, con aziende già avviate o in forte espansione, desiderosi di affinare le proprie competenze con tecniche avanzate e case-study di successo.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rFonts w:ascii="Arial" w:cs="Arial" w:eastAsia="Arial" w:hAnsi="Arial"/>
          <w:b w:val="1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L’evento ha rappresentato un’importante occasione di confronto per i professionisti del settore, grazie anche alla collaborazione con Riva del Garda Fierecongressi, che ha messo a disposizione una location perfettamente attrezzata per accogliere un evento di tale rilievo. 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“Siamo orgogliosi di aver ospitato Dario Vignali e il suo team per questo prestigioso momento di formazione, una vera occasione di crescita e confronto per tanti imprenditori. Estendo i miei ringraziamenti anche a Riva del Garda Fierecongressi per la preziosa collaborazione e per aver contribuito a rendere ‘Business Alchemy’ un successo”, ha dichiarato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Oskar Schwazer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Direttore di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Garda Dolomiti Azienda per il Turismo S.p.A.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Anche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Renata Farina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Congress Manager di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ha sottolineato il valore dell’iniziativa per il territorio: “‘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Business Alchemy’ è un appuntamento di riferimento per il mondo del marketing e della comunicazione, che ha portato sul nostro territorio professionisti, aziende e speaker di rilievo. Un evento che ha confermato il ruolo del nostro Centro Congressi quale punto di incontro privilegiato, capace di favorire opportunità di business e scambio di conoscenze in un contesto paesaggistico unico e ispirante”.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Con partecipanti provenienti da tutta Italia e un soggiorno medio di due o tre notti, “Business Alchemy” ha generato un indotto positivo per l’economia locale, confermando il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Garda Trentino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 come meta ideale anche per eventi di formazione e sviluppo professionale di alto livello.</w:t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“Le persone non prendono parte agli eventi solamente per i loro contenuti. Certo, le idee sono centrali e le persone lo sono ancora di più, ma anche il luogo è parte integrante dell’esperienza e dei ricordi che si portano a casa. Siamo felici di aver scelto un luogo come il Lago di Garda come dimora di questo weekend dedicato alla crescita imprenditoriale”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ha commentato </w:t>
      </w:r>
      <w:r w:rsidDel="00000000" w:rsidR="00000000" w:rsidRPr="00000000">
        <w:rPr>
          <w:rFonts w:ascii="Arial" w:cs="Arial" w:eastAsia="Arial" w:hAnsi="Arial"/>
          <w:b w:val="1"/>
          <w:color w:val="0b0b0b"/>
          <w:sz w:val="24"/>
          <w:szCs w:val="24"/>
          <w:rtl w:val="0"/>
        </w:rPr>
        <w:t xml:space="preserve">Dario Vignali</w:t>
      </w: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, ideatore di ‘Business Alchemy’ e fondatore di Marketers.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color w:val="0b0b0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Arial" w:cs="Arial" w:eastAsia="Arial" w:hAnsi="Arial"/>
          <w:color w:val="0b0b0b"/>
          <w:sz w:val="24"/>
          <w:szCs w:val="24"/>
          <w:rtl w:val="0"/>
        </w:rPr>
        <w:t xml:space="preserve">Riva del Garda, 25 febbraio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38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